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AFE5D" w14:textId="2C17E89E" w:rsidR="0091740D" w:rsidRPr="0091740D" w:rsidRDefault="0091740D" w:rsidP="0091740D">
      <w:pPr>
        <w:jc w:val="both"/>
      </w:pPr>
      <w:r w:rsidRPr="0091740D">
        <w:t>Lors de sa séance du 26 juin 2026, le Grand Conseil du Canton de Fribourg a adopté le projet de modification de la loi sur l’aménagement du territoire et des constructions (</w:t>
      </w:r>
      <w:proofErr w:type="spellStart"/>
      <w:r w:rsidRPr="0091740D">
        <w:t>LATeC</w:t>
      </w:r>
      <w:proofErr w:type="spellEnd"/>
      <w:r w:rsidRPr="0091740D">
        <w:t>) mettant en œuvre les bases légales nécessaires pour l'entrée en vigueur de la deuxième étape de la révision de la loi fédérale du 22 juin 1979 sur l’aménagement du territoire (LAT 2) le 1</w:t>
      </w:r>
      <w:r w:rsidRPr="0091740D">
        <w:rPr>
          <w:vertAlign w:val="superscript"/>
        </w:rPr>
        <w:t>er</w:t>
      </w:r>
      <w:r w:rsidRPr="0091740D">
        <w:t xml:space="preserve"> juillet 2026, en ce qui concerne le versement des primes de démolition.</w:t>
      </w:r>
    </w:p>
    <w:p w14:paraId="6D7B97FF" w14:textId="2C43C187" w:rsidR="0091740D" w:rsidRPr="0091740D" w:rsidRDefault="0091740D" w:rsidP="0091740D">
      <w:pPr>
        <w:jc w:val="both"/>
      </w:pPr>
      <w:r w:rsidRPr="0091740D">
        <w:t>Conformément aux dispositions du droit cantonal, le calcul de la prime de démolition sera effectué sur la base de montants calculés selon un montant forfaitaire par m</w:t>
      </w:r>
      <w:r w:rsidRPr="0091740D">
        <w:rPr>
          <w:vertAlign w:val="superscript"/>
        </w:rPr>
        <w:t>3</w:t>
      </w:r>
      <w:r w:rsidRPr="0091740D">
        <w:t xml:space="preserve"> défini en fonction du type d’ouvrage démoli. Les critères pour le calcul de la prime ainsi que les conditions pour le versement de la prime seront définis par le Conseil d'Etat dans le règlement d'exécution de la loi sur l'aménagement du territoire et les constructions (</w:t>
      </w:r>
      <w:proofErr w:type="spellStart"/>
      <w:r w:rsidRPr="0091740D">
        <w:t>ReLATeC</w:t>
      </w:r>
      <w:proofErr w:type="spellEnd"/>
      <w:r w:rsidRPr="0091740D">
        <w:t xml:space="preserve">)*. </w:t>
      </w:r>
    </w:p>
    <w:p w14:paraId="72F186A1" w14:textId="3E642080" w:rsidR="0091740D" w:rsidRPr="0091740D" w:rsidRDefault="0091740D" w:rsidP="0091740D">
      <w:pPr>
        <w:jc w:val="both"/>
      </w:pPr>
      <w:r w:rsidRPr="0091740D">
        <w:t xml:space="preserve">Le </w:t>
      </w:r>
      <w:proofErr w:type="spellStart"/>
      <w:r w:rsidRPr="0091740D">
        <w:t>ReLATeC</w:t>
      </w:r>
      <w:proofErr w:type="spellEnd"/>
      <w:r w:rsidRPr="0091740D">
        <w:t xml:space="preserve">* prévoit que la demande pour l'obtention d'une prime doit être jointe à la demande de permis de démolir portant sur l'objet correspondant. Veuillez noter à cet égard que l'art. 150 </w:t>
      </w:r>
      <w:proofErr w:type="spellStart"/>
      <w:r w:rsidRPr="0091740D">
        <w:t>LATeC</w:t>
      </w:r>
      <w:proofErr w:type="spellEnd"/>
      <w:r w:rsidRPr="0091740D">
        <w:t xml:space="preserve"> subit une légère modification dans ce contexte. Comme le prévoit le droit en vigueur, toute démolition est soumise à la procédure ordinaire, sauf s'il s'agit d'une démolition d'un objet de minime d’importance qui n'est pas un bien culturel recensé ou protégé. Selon le nouveau droit, une telle démolition est</w:t>
      </w:r>
    </w:p>
    <w:p w14:paraId="36C6B2E5" w14:textId="77777777" w:rsidR="0091740D" w:rsidRPr="0091740D" w:rsidRDefault="0091740D" w:rsidP="0091740D">
      <w:pPr>
        <w:numPr>
          <w:ilvl w:val="0"/>
          <w:numId w:val="1"/>
        </w:numPr>
        <w:jc w:val="both"/>
      </w:pPr>
      <w:proofErr w:type="gramStart"/>
      <w:r w:rsidRPr="0091740D">
        <w:t>soumise</w:t>
      </w:r>
      <w:proofErr w:type="gramEnd"/>
      <w:r w:rsidRPr="0091740D">
        <w:t xml:space="preserve"> à la procédure simplifiée lorsqu’il s’agit d’objets situés hors de la zone à bâtir et dont l’emprise au sol est de 6m</w:t>
      </w:r>
      <w:r w:rsidRPr="0091740D">
        <w:rPr>
          <w:vertAlign w:val="superscript"/>
        </w:rPr>
        <w:t>2</w:t>
      </w:r>
      <w:r w:rsidRPr="0091740D">
        <w:t xml:space="preserve"> ou plus ;</w:t>
      </w:r>
    </w:p>
    <w:p w14:paraId="79890D68" w14:textId="343FD3C9" w:rsidR="0091740D" w:rsidRPr="0091740D" w:rsidRDefault="0091740D" w:rsidP="0091740D">
      <w:pPr>
        <w:numPr>
          <w:ilvl w:val="0"/>
          <w:numId w:val="1"/>
        </w:numPr>
        <w:jc w:val="both"/>
      </w:pPr>
      <w:proofErr w:type="gramStart"/>
      <w:r w:rsidRPr="0091740D">
        <w:t>dispensée</w:t>
      </w:r>
      <w:proofErr w:type="gramEnd"/>
      <w:r w:rsidRPr="0091740D">
        <w:t xml:space="preserve"> de l’obligation de permis lorsqu’il s’agit d’objets situés dans la zone à bâtir ou d’objets situés hors de la zone à bâtir dont l’emprise est de moins de</w:t>
      </w:r>
      <w:r>
        <w:t xml:space="preserve"> </w:t>
      </w:r>
      <w:r w:rsidRPr="0091740D">
        <w:t>6m</w:t>
      </w:r>
      <w:r w:rsidRPr="0091740D">
        <w:rPr>
          <w:vertAlign w:val="superscript"/>
        </w:rPr>
        <w:t>2</w:t>
      </w:r>
      <w:r w:rsidRPr="0091740D">
        <w:t xml:space="preserve">. </w:t>
      </w:r>
    </w:p>
    <w:p w14:paraId="0159E620" w14:textId="0FAC97B2" w:rsidR="0091740D" w:rsidRDefault="0091740D" w:rsidP="0091740D">
      <w:pPr>
        <w:jc w:val="both"/>
      </w:pPr>
      <w:r w:rsidRPr="0091740D">
        <w:t>Les primes ne sont dues que pour les démolitions ayant fait l'objet d'une demande de permis qui a été transmise à la commune au moyen de l'application pour la gestion de la procédure de permis de construire mise à disposition par l'Etat après le 1</w:t>
      </w:r>
      <w:r w:rsidRPr="0091740D">
        <w:rPr>
          <w:vertAlign w:val="superscript"/>
        </w:rPr>
        <w:t>er</w:t>
      </w:r>
      <w:r w:rsidRPr="0091740D">
        <w:t xml:space="preserve"> juillet 2026. </w:t>
      </w:r>
    </w:p>
    <w:p w14:paraId="338C6687" w14:textId="77777777" w:rsidR="0091740D" w:rsidRDefault="0091740D" w:rsidP="0091740D">
      <w:pPr>
        <w:jc w:val="both"/>
      </w:pPr>
    </w:p>
    <w:p w14:paraId="1798A217" w14:textId="77777777" w:rsidR="0091740D" w:rsidRPr="0091740D" w:rsidRDefault="0091740D" w:rsidP="0091740D">
      <w:pPr>
        <w:jc w:val="both"/>
      </w:pPr>
    </w:p>
    <w:p w14:paraId="70DE083A" w14:textId="77777777" w:rsidR="0091740D" w:rsidRPr="0091740D" w:rsidRDefault="0091740D" w:rsidP="0091740D">
      <w:pPr>
        <w:jc w:val="both"/>
      </w:pPr>
      <w:r w:rsidRPr="0091740D">
        <w:t>* Les bases réglementaires correspondantes sont actuellement encore en cours d’adoption par le Conseil d’Etat, dès lors, des modifications restent réservées à l'heure actuelle. Le SeCA publiera toutefois sur son site Internet à partir du 1</w:t>
      </w:r>
      <w:r w:rsidRPr="0091740D">
        <w:rPr>
          <w:vertAlign w:val="superscript"/>
        </w:rPr>
        <w:t>er</w:t>
      </w:r>
      <w:r w:rsidRPr="0091740D">
        <w:t xml:space="preserve"> juillet des précisions sur les exigences procédurales et un formulaire qui permettra aux propriétaires le dépôt de leur demande pour l'obtention d'une prime de démolition. Des indications d’ordre général seront ajoutées au guide des constructions et mises à disposition du public et des utilisateurs en temps </w:t>
      </w:r>
      <w:proofErr w:type="gramStart"/>
      <w:r w:rsidRPr="0091740D">
        <w:t>voulu;</w:t>
      </w:r>
      <w:proofErr w:type="gramEnd"/>
      <w:r w:rsidRPr="0091740D">
        <w:t xml:space="preserve"> le contenu du guide pourra être adapté à futur en fonction des besoins et questions des utilisateurs et utilisatrices.</w:t>
      </w:r>
    </w:p>
    <w:p w14:paraId="56374B36" w14:textId="77777777" w:rsidR="00E55771" w:rsidRDefault="00E55771"/>
    <w:sectPr w:rsidR="00E557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AC0"/>
    <w:multiLevelType w:val="hybridMultilevel"/>
    <w:tmpl w:val="6AC21518"/>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282545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0D"/>
    <w:rsid w:val="0036149B"/>
    <w:rsid w:val="0091740D"/>
    <w:rsid w:val="00A0328D"/>
    <w:rsid w:val="00E557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D6B2"/>
  <w15:chartTrackingRefBased/>
  <w15:docId w15:val="{63CF4495-598C-474E-B4CC-AA7136F2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7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7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74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74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74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74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74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74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74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74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74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74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74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74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74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74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74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740D"/>
    <w:rPr>
      <w:rFonts w:eastAsiaTheme="majorEastAsia" w:cstheme="majorBidi"/>
      <w:color w:val="272727" w:themeColor="text1" w:themeTint="D8"/>
    </w:rPr>
  </w:style>
  <w:style w:type="paragraph" w:styleId="Titre">
    <w:name w:val="Title"/>
    <w:basedOn w:val="Normal"/>
    <w:next w:val="Normal"/>
    <w:link w:val="TitreCar"/>
    <w:uiPriority w:val="10"/>
    <w:qFormat/>
    <w:rsid w:val="00917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74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74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74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740D"/>
    <w:pPr>
      <w:spacing w:before="160"/>
      <w:jc w:val="center"/>
    </w:pPr>
    <w:rPr>
      <w:i/>
      <w:iCs/>
      <w:color w:val="404040" w:themeColor="text1" w:themeTint="BF"/>
    </w:rPr>
  </w:style>
  <w:style w:type="character" w:customStyle="1" w:styleId="CitationCar">
    <w:name w:val="Citation Car"/>
    <w:basedOn w:val="Policepardfaut"/>
    <w:link w:val="Citation"/>
    <w:uiPriority w:val="29"/>
    <w:rsid w:val="0091740D"/>
    <w:rPr>
      <w:i/>
      <w:iCs/>
      <w:color w:val="404040" w:themeColor="text1" w:themeTint="BF"/>
    </w:rPr>
  </w:style>
  <w:style w:type="paragraph" w:styleId="Paragraphedeliste">
    <w:name w:val="List Paragraph"/>
    <w:basedOn w:val="Normal"/>
    <w:uiPriority w:val="34"/>
    <w:qFormat/>
    <w:rsid w:val="0091740D"/>
    <w:pPr>
      <w:ind w:left="720"/>
      <w:contextualSpacing/>
    </w:pPr>
  </w:style>
  <w:style w:type="character" w:styleId="Accentuationintense">
    <w:name w:val="Intense Emphasis"/>
    <w:basedOn w:val="Policepardfaut"/>
    <w:uiPriority w:val="21"/>
    <w:qFormat/>
    <w:rsid w:val="0091740D"/>
    <w:rPr>
      <w:i/>
      <w:iCs/>
      <w:color w:val="0F4761" w:themeColor="accent1" w:themeShade="BF"/>
    </w:rPr>
  </w:style>
  <w:style w:type="paragraph" w:styleId="Citationintense">
    <w:name w:val="Intense Quote"/>
    <w:basedOn w:val="Normal"/>
    <w:next w:val="Normal"/>
    <w:link w:val="CitationintenseCar"/>
    <w:uiPriority w:val="30"/>
    <w:qFormat/>
    <w:rsid w:val="0091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740D"/>
    <w:rPr>
      <w:i/>
      <w:iCs/>
      <w:color w:val="0F4761" w:themeColor="accent1" w:themeShade="BF"/>
    </w:rPr>
  </w:style>
  <w:style w:type="character" w:styleId="Rfrenceintense">
    <w:name w:val="Intense Reference"/>
    <w:basedOn w:val="Policepardfaut"/>
    <w:uiPriority w:val="32"/>
    <w:qFormat/>
    <w:rsid w:val="009174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2244</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Opaline Pilecki</dc:creator>
  <cp:keywords/>
  <dc:description/>
  <cp:lastModifiedBy>Opaline Pilecki</cp:lastModifiedBy>
  <cp:revision>1</cp:revision>
  <dcterms:created xsi:type="dcterms:W3CDTF">2026-07-01T06:28:00Z</dcterms:created>
  <dcterms:modified xsi:type="dcterms:W3CDTF">2026-07-01T06:29:00Z</dcterms:modified>
</cp:coreProperties>
</file>